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48E3" w14:textId="77777777" w:rsidR="008E5FB7" w:rsidRPr="00F404CB" w:rsidRDefault="008E5FB7" w:rsidP="008E5FB7">
      <w:pPr>
        <w:pStyle w:val="Ttulo"/>
        <w:ind w:left="-142" w:right="-138"/>
        <w:rPr>
          <w:rFonts w:eastAsia="MS Mincho"/>
          <w:noProof w:val="0"/>
          <w:u w:val="single"/>
        </w:rPr>
      </w:pPr>
      <w:r w:rsidRPr="00F404CB">
        <w:rPr>
          <w:rFonts w:eastAsia="MS Mincho"/>
          <w:noProof w:val="0"/>
          <w:u w:val="single"/>
        </w:rPr>
        <w:t xml:space="preserve">Caso Chinchilla Sandoval </w:t>
      </w:r>
      <w:r w:rsidR="00FE3499">
        <w:rPr>
          <w:rFonts w:eastAsia="MS Mincho"/>
          <w:i/>
          <w:noProof w:val="0"/>
          <w:u w:val="single"/>
        </w:rPr>
        <w:t>Vs</w:t>
      </w:r>
      <w:r w:rsidR="00966837">
        <w:rPr>
          <w:rFonts w:eastAsia="MS Mincho"/>
          <w:noProof w:val="0"/>
          <w:u w:val="single"/>
        </w:rPr>
        <w:t>. Guatemala: reparaciones</w:t>
      </w:r>
      <w:r w:rsidRPr="00F404CB">
        <w:rPr>
          <w:rFonts w:eastAsia="MS Mincho"/>
          <w:noProof w:val="0"/>
          <w:u w:val="single"/>
        </w:rPr>
        <w:t xml:space="preserve"> declaradas cumplidas</w:t>
      </w:r>
    </w:p>
    <w:p w14:paraId="3F020F85" w14:textId="77777777" w:rsidR="008E5FB7" w:rsidRPr="00F404CB" w:rsidRDefault="008E5FB7" w:rsidP="008E5FB7">
      <w:pPr>
        <w:jc w:val="both"/>
        <w:rPr>
          <w:spacing w:val="-2"/>
          <w:sz w:val="20"/>
          <w:szCs w:val="20"/>
          <w:lang w:val="es-PR"/>
        </w:rPr>
      </w:pPr>
    </w:p>
    <w:p w14:paraId="2906DDF8" w14:textId="024949FF" w:rsidR="00723520" w:rsidRPr="00526751" w:rsidRDefault="00526751" w:rsidP="00723520">
      <w:pPr>
        <w:pStyle w:val="Default"/>
        <w:numPr>
          <w:ilvl w:val="0"/>
          <w:numId w:val="1"/>
        </w:numPr>
        <w:tabs>
          <w:tab w:val="left" w:pos="720"/>
        </w:tabs>
        <w:ind w:left="0" w:firstLine="0"/>
        <w:jc w:val="both"/>
        <w:rPr>
          <w:color w:val="auto"/>
          <w:spacing w:val="-2"/>
          <w:sz w:val="20"/>
          <w:szCs w:val="20"/>
          <w:lang w:val="es-PR"/>
        </w:rPr>
      </w:pPr>
      <w:r>
        <w:rPr>
          <w:color w:val="auto"/>
          <w:spacing w:val="-2"/>
          <w:sz w:val="20"/>
          <w:szCs w:val="20"/>
          <w:lang w:val="es-PR"/>
        </w:rPr>
        <w:t>R</w:t>
      </w:r>
      <w:r w:rsidRPr="000E0717">
        <w:rPr>
          <w:color w:val="auto"/>
          <w:spacing w:val="-2"/>
          <w:sz w:val="20"/>
          <w:szCs w:val="20"/>
          <w:lang w:val="es-PR"/>
        </w:rPr>
        <w:t xml:space="preserve">ealizar las publicaciones que se indican en el párrafo 270 del presente Fallo, dentro del plazo de un año contado desde la notificación de la presente Sentencia. </w:t>
      </w:r>
    </w:p>
    <w:p w14:paraId="118E9D24" w14:textId="77777777" w:rsidR="00723520" w:rsidRDefault="00723520" w:rsidP="00723520">
      <w:pPr>
        <w:pStyle w:val="Default"/>
        <w:tabs>
          <w:tab w:val="left" w:pos="720"/>
        </w:tabs>
        <w:jc w:val="both"/>
        <w:rPr>
          <w:color w:val="auto"/>
          <w:spacing w:val="-2"/>
          <w:sz w:val="20"/>
          <w:szCs w:val="20"/>
          <w:lang w:val="es-PR"/>
        </w:rPr>
      </w:pPr>
    </w:p>
    <w:p w14:paraId="272F242E" w14:textId="77777777" w:rsidR="00723520" w:rsidRDefault="00723520" w:rsidP="00723520">
      <w:pPr>
        <w:pStyle w:val="Default"/>
        <w:numPr>
          <w:ilvl w:val="0"/>
          <w:numId w:val="1"/>
        </w:numPr>
        <w:tabs>
          <w:tab w:val="left" w:pos="720"/>
        </w:tabs>
        <w:ind w:left="0" w:firstLine="0"/>
        <w:jc w:val="both"/>
        <w:rPr>
          <w:color w:val="auto"/>
          <w:spacing w:val="-2"/>
          <w:sz w:val="20"/>
          <w:szCs w:val="20"/>
          <w:lang w:val="es-PR"/>
        </w:rPr>
      </w:pPr>
      <w:r>
        <w:rPr>
          <w:color w:val="auto"/>
          <w:spacing w:val="-2"/>
          <w:sz w:val="20"/>
          <w:szCs w:val="20"/>
          <w:lang w:val="es-PR"/>
        </w:rPr>
        <w:t>P</w:t>
      </w:r>
      <w:r w:rsidRPr="000E0717">
        <w:rPr>
          <w:color w:val="auto"/>
          <w:spacing w:val="-2"/>
          <w:sz w:val="20"/>
          <w:szCs w:val="20"/>
          <w:lang w:val="es-PR"/>
        </w:rPr>
        <w:t>agar las cantidades fijadas en los párrafos 304, 30</w:t>
      </w:r>
      <w:r>
        <w:rPr>
          <w:color w:val="auto"/>
          <w:spacing w:val="-2"/>
          <w:sz w:val="20"/>
          <w:szCs w:val="20"/>
          <w:lang w:val="es-PR"/>
        </w:rPr>
        <w:t>9 y 315</w:t>
      </w:r>
      <w:r w:rsidRPr="000E0717">
        <w:rPr>
          <w:color w:val="auto"/>
          <w:spacing w:val="-2"/>
          <w:sz w:val="20"/>
          <w:szCs w:val="20"/>
          <w:lang w:val="es-PR"/>
        </w:rPr>
        <w:t xml:space="preserve"> de la presente Sentencia, por concepto de indemnizaciones por daños materiales e inmateriales y por el reintegro de costas y gastos, en los términos de los referidos párrafos y de los párrafos 310 y 321 a 326 de esta Sentencia.</w:t>
      </w:r>
    </w:p>
    <w:p w14:paraId="3DF9DC7F" w14:textId="77777777" w:rsidR="00526751" w:rsidRDefault="00526751" w:rsidP="00526751">
      <w:pPr>
        <w:pStyle w:val="Default"/>
        <w:tabs>
          <w:tab w:val="left" w:pos="720"/>
        </w:tabs>
        <w:jc w:val="both"/>
        <w:rPr>
          <w:color w:val="auto"/>
          <w:spacing w:val="-2"/>
          <w:sz w:val="20"/>
          <w:szCs w:val="20"/>
          <w:lang w:val="es-PR"/>
        </w:rPr>
      </w:pPr>
    </w:p>
    <w:p w14:paraId="358CC8BB" w14:textId="77777777" w:rsidR="00526751" w:rsidRPr="00723520" w:rsidRDefault="00526751" w:rsidP="00526751">
      <w:pPr>
        <w:pStyle w:val="Default"/>
        <w:numPr>
          <w:ilvl w:val="0"/>
          <w:numId w:val="1"/>
        </w:numPr>
        <w:tabs>
          <w:tab w:val="left" w:pos="720"/>
        </w:tabs>
        <w:ind w:left="0" w:firstLine="0"/>
        <w:jc w:val="both"/>
        <w:rPr>
          <w:lang w:val="es-PR"/>
        </w:rPr>
      </w:pPr>
      <w:r w:rsidRPr="00F404CB">
        <w:rPr>
          <w:color w:val="auto"/>
          <w:spacing w:val="-2"/>
          <w:sz w:val="20"/>
          <w:szCs w:val="20"/>
          <w:lang w:val="es-PR"/>
        </w:rPr>
        <w:t>Pagar</w:t>
      </w:r>
      <w:r w:rsidRPr="00F404CB">
        <w:rPr>
          <w:sz w:val="20"/>
          <w:szCs w:val="20"/>
        </w:rPr>
        <w:t xml:space="preserve"> la </w:t>
      </w:r>
      <w:proofErr w:type="spellStart"/>
      <w:r w:rsidRPr="00F404CB">
        <w:rPr>
          <w:sz w:val="20"/>
          <w:szCs w:val="20"/>
        </w:rPr>
        <w:t>cantidad</w:t>
      </w:r>
      <w:proofErr w:type="spellEnd"/>
      <w:r w:rsidRPr="00F404CB">
        <w:rPr>
          <w:sz w:val="20"/>
          <w:szCs w:val="20"/>
        </w:rPr>
        <w:t xml:space="preserve"> </w:t>
      </w:r>
      <w:proofErr w:type="spellStart"/>
      <w:r w:rsidRPr="00F404CB">
        <w:rPr>
          <w:sz w:val="20"/>
          <w:szCs w:val="20"/>
        </w:rPr>
        <w:t>fijada</w:t>
      </w:r>
      <w:proofErr w:type="spellEnd"/>
      <w:r w:rsidRPr="00F404CB">
        <w:rPr>
          <w:sz w:val="20"/>
          <w:szCs w:val="20"/>
        </w:rPr>
        <w:t xml:space="preserve"> </w:t>
      </w:r>
      <w:proofErr w:type="spellStart"/>
      <w:r w:rsidRPr="00F404CB">
        <w:rPr>
          <w:sz w:val="20"/>
          <w:szCs w:val="20"/>
        </w:rPr>
        <w:t>en</w:t>
      </w:r>
      <w:proofErr w:type="spellEnd"/>
      <w:r w:rsidRPr="00F404CB">
        <w:rPr>
          <w:sz w:val="20"/>
          <w:szCs w:val="20"/>
        </w:rPr>
        <w:t xml:space="preserve"> el </w:t>
      </w:r>
      <w:proofErr w:type="spellStart"/>
      <w:r w:rsidRPr="00F404CB">
        <w:rPr>
          <w:sz w:val="20"/>
          <w:szCs w:val="20"/>
        </w:rPr>
        <w:t>párrafo</w:t>
      </w:r>
      <w:proofErr w:type="spellEnd"/>
      <w:r w:rsidRPr="00F404CB">
        <w:rPr>
          <w:sz w:val="20"/>
          <w:szCs w:val="20"/>
        </w:rPr>
        <w:t xml:space="preserve"> 320 de la </w:t>
      </w:r>
      <w:proofErr w:type="spellStart"/>
      <w:r w:rsidRPr="00F404CB">
        <w:rPr>
          <w:sz w:val="20"/>
          <w:szCs w:val="20"/>
        </w:rPr>
        <w:t>presente</w:t>
      </w:r>
      <w:proofErr w:type="spellEnd"/>
      <w:r w:rsidRPr="00F404CB">
        <w:rPr>
          <w:sz w:val="20"/>
          <w:szCs w:val="20"/>
        </w:rPr>
        <w:t xml:space="preserve"> </w:t>
      </w:r>
      <w:proofErr w:type="spellStart"/>
      <w:r w:rsidRPr="00F404CB">
        <w:rPr>
          <w:sz w:val="20"/>
          <w:szCs w:val="20"/>
        </w:rPr>
        <w:t>Sentencia</w:t>
      </w:r>
      <w:proofErr w:type="spellEnd"/>
      <w:r w:rsidRPr="00F404CB">
        <w:rPr>
          <w:sz w:val="20"/>
          <w:szCs w:val="20"/>
        </w:rPr>
        <w:t xml:space="preserve">, </w:t>
      </w:r>
      <w:proofErr w:type="spellStart"/>
      <w:r w:rsidRPr="00F404CB">
        <w:rPr>
          <w:sz w:val="20"/>
          <w:szCs w:val="20"/>
        </w:rPr>
        <w:t>por</w:t>
      </w:r>
      <w:proofErr w:type="spellEnd"/>
      <w:r w:rsidRPr="00F404CB">
        <w:rPr>
          <w:sz w:val="20"/>
          <w:szCs w:val="20"/>
        </w:rPr>
        <w:t xml:space="preserve"> </w:t>
      </w:r>
      <w:proofErr w:type="spellStart"/>
      <w:r w:rsidRPr="00F404CB">
        <w:rPr>
          <w:sz w:val="20"/>
          <w:szCs w:val="20"/>
        </w:rPr>
        <w:t>concepto</w:t>
      </w:r>
      <w:proofErr w:type="spellEnd"/>
      <w:r w:rsidRPr="00F404CB">
        <w:rPr>
          <w:sz w:val="20"/>
          <w:szCs w:val="20"/>
        </w:rPr>
        <w:t xml:space="preserve"> de </w:t>
      </w:r>
      <w:proofErr w:type="spellStart"/>
      <w:r w:rsidRPr="00F404CB">
        <w:rPr>
          <w:sz w:val="20"/>
          <w:szCs w:val="20"/>
        </w:rPr>
        <w:t>reintegro</w:t>
      </w:r>
      <w:proofErr w:type="spellEnd"/>
      <w:r w:rsidRPr="00F404CB">
        <w:rPr>
          <w:sz w:val="20"/>
          <w:szCs w:val="20"/>
        </w:rPr>
        <w:t xml:space="preserve"> al Fondo de </w:t>
      </w:r>
      <w:proofErr w:type="spellStart"/>
      <w:r w:rsidRPr="00F404CB">
        <w:rPr>
          <w:sz w:val="20"/>
          <w:szCs w:val="20"/>
        </w:rPr>
        <w:t>Asistencia</w:t>
      </w:r>
      <w:proofErr w:type="spellEnd"/>
      <w:r w:rsidRPr="00F404CB">
        <w:rPr>
          <w:sz w:val="20"/>
          <w:szCs w:val="20"/>
        </w:rPr>
        <w:t xml:space="preserve"> Legal, </w:t>
      </w:r>
      <w:proofErr w:type="spellStart"/>
      <w:r w:rsidRPr="00F404CB">
        <w:rPr>
          <w:sz w:val="20"/>
          <w:szCs w:val="20"/>
        </w:rPr>
        <w:t>en</w:t>
      </w:r>
      <w:proofErr w:type="spellEnd"/>
      <w:r w:rsidRPr="00F404CB">
        <w:rPr>
          <w:sz w:val="20"/>
          <w:szCs w:val="20"/>
        </w:rPr>
        <w:t xml:space="preserve"> los </w:t>
      </w:r>
      <w:proofErr w:type="spellStart"/>
      <w:r w:rsidRPr="00F404CB">
        <w:rPr>
          <w:sz w:val="20"/>
          <w:szCs w:val="20"/>
        </w:rPr>
        <w:t>términos</w:t>
      </w:r>
      <w:proofErr w:type="spellEnd"/>
      <w:r w:rsidRPr="00F404CB">
        <w:rPr>
          <w:sz w:val="20"/>
          <w:szCs w:val="20"/>
        </w:rPr>
        <w:t xml:space="preserve"> del </w:t>
      </w:r>
      <w:proofErr w:type="spellStart"/>
      <w:r w:rsidRPr="00F404CB">
        <w:rPr>
          <w:sz w:val="20"/>
          <w:szCs w:val="20"/>
        </w:rPr>
        <w:t>referido</w:t>
      </w:r>
      <w:proofErr w:type="spellEnd"/>
      <w:r w:rsidRPr="00F404CB">
        <w:rPr>
          <w:sz w:val="20"/>
          <w:szCs w:val="20"/>
        </w:rPr>
        <w:t xml:space="preserve"> </w:t>
      </w:r>
      <w:proofErr w:type="spellStart"/>
      <w:r w:rsidRPr="00F404CB">
        <w:rPr>
          <w:sz w:val="20"/>
          <w:szCs w:val="20"/>
        </w:rPr>
        <w:t>párrafo</w:t>
      </w:r>
      <w:proofErr w:type="spellEnd"/>
      <w:r w:rsidRPr="00F404CB">
        <w:rPr>
          <w:sz w:val="20"/>
          <w:szCs w:val="20"/>
        </w:rPr>
        <w:t xml:space="preserve"> y de los </w:t>
      </w:r>
      <w:proofErr w:type="spellStart"/>
      <w:r w:rsidRPr="00F404CB">
        <w:rPr>
          <w:sz w:val="20"/>
          <w:szCs w:val="20"/>
        </w:rPr>
        <w:t>párrafos</w:t>
      </w:r>
      <w:proofErr w:type="spellEnd"/>
      <w:r w:rsidRPr="00F404CB">
        <w:rPr>
          <w:sz w:val="20"/>
          <w:szCs w:val="20"/>
        </w:rPr>
        <w:t xml:space="preserve"> 321 a 326 de </w:t>
      </w:r>
      <w:proofErr w:type="spellStart"/>
      <w:r w:rsidRPr="00F404CB">
        <w:rPr>
          <w:sz w:val="20"/>
          <w:szCs w:val="20"/>
        </w:rPr>
        <w:t>esta</w:t>
      </w:r>
      <w:proofErr w:type="spellEnd"/>
      <w:r w:rsidRPr="00F404CB">
        <w:rPr>
          <w:sz w:val="20"/>
          <w:szCs w:val="20"/>
        </w:rPr>
        <w:t xml:space="preserve"> </w:t>
      </w:r>
      <w:proofErr w:type="spellStart"/>
      <w:r w:rsidRPr="00F404CB">
        <w:rPr>
          <w:sz w:val="20"/>
          <w:szCs w:val="20"/>
        </w:rPr>
        <w:t>Sentencia</w:t>
      </w:r>
      <w:proofErr w:type="spellEnd"/>
      <w:r w:rsidRPr="00F404CB">
        <w:rPr>
          <w:sz w:val="20"/>
          <w:szCs w:val="20"/>
        </w:rPr>
        <w:t>.</w:t>
      </w:r>
    </w:p>
    <w:p w14:paraId="17A0716C" w14:textId="77777777" w:rsidR="00723520" w:rsidRPr="00526751" w:rsidRDefault="00723520" w:rsidP="00526751">
      <w:pPr>
        <w:pStyle w:val="Default"/>
        <w:tabs>
          <w:tab w:val="left" w:pos="720"/>
        </w:tabs>
        <w:jc w:val="both"/>
        <w:rPr>
          <w:color w:val="auto"/>
          <w:spacing w:val="-2"/>
          <w:sz w:val="20"/>
          <w:szCs w:val="20"/>
          <w:lang w:val="es-PR"/>
        </w:rPr>
      </w:pPr>
    </w:p>
    <w:sectPr w:rsidR="00723520" w:rsidRPr="0052675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D5C8" w14:textId="77777777" w:rsidR="001C3C63" w:rsidRDefault="001C3C63" w:rsidP="0030068A">
      <w:pPr>
        <w:spacing w:after="0" w:line="240" w:lineRule="auto"/>
      </w:pPr>
      <w:r>
        <w:separator/>
      </w:r>
    </w:p>
  </w:endnote>
  <w:endnote w:type="continuationSeparator" w:id="0">
    <w:p w14:paraId="31313D85" w14:textId="77777777" w:rsidR="001C3C63" w:rsidRDefault="001C3C63" w:rsidP="0030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A2E4" w14:textId="77777777" w:rsidR="0030068A" w:rsidRDefault="003006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9039" w14:textId="77777777" w:rsidR="0030068A" w:rsidRPr="0030068A" w:rsidRDefault="0030068A" w:rsidP="0030068A">
    <w:pPr>
      <w:jc w:val="both"/>
      <w:rPr>
        <w:rFonts w:ascii="Verdana" w:hAnsi="Verdana"/>
        <w:bCs/>
        <w:sz w:val="16"/>
        <w:szCs w:val="16"/>
        <w:lang w:val="es-MX"/>
      </w:rPr>
    </w:pPr>
    <w:r w:rsidRPr="0030068A">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63CA76F" w14:textId="77777777" w:rsidR="0030068A" w:rsidRDefault="003006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CF6C" w14:textId="77777777" w:rsidR="0030068A" w:rsidRDefault="003006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D411" w14:textId="77777777" w:rsidR="001C3C63" w:rsidRDefault="001C3C63" w:rsidP="0030068A">
      <w:pPr>
        <w:spacing w:after="0" w:line="240" w:lineRule="auto"/>
      </w:pPr>
      <w:r>
        <w:separator/>
      </w:r>
    </w:p>
  </w:footnote>
  <w:footnote w:type="continuationSeparator" w:id="0">
    <w:p w14:paraId="0F034FB7" w14:textId="77777777" w:rsidR="001C3C63" w:rsidRDefault="001C3C63" w:rsidP="0030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E811" w14:textId="77777777" w:rsidR="0030068A" w:rsidRDefault="003006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E059" w14:textId="77777777" w:rsidR="0030068A" w:rsidRDefault="003006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7EE" w14:textId="77777777" w:rsidR="0030068A" w:rsidRDefault="003006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88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BD"/>
    <w:rsid w:val="00121FBD"/>
    <w:rsid w:val="001C3C63"/>
    <w:rsid w:val="0030068A"/>
    <w:rsid w:val="00401516"/>
    <w:rsid w:val="00526751"/>
    <w:rsid w:val="00723520"/>
    <w:rsid w:val="00771A63"/>
    <w:rsid w:val="008E5FB7"/>
    <w:rsid w:val="00966837"/>
    <w:rsid w:val="00C233F6"/>
    <w:rsid w:val="00F404CB"/>
    <w:rsid w:val="00FE34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1997"/>
  <w15:docId w15:val="{0E69A8C7-205F-4065-9400-E22471C2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5FB7"/>
    <w:pPr>
      <w:autoSpaceDE w:val="0"/>
      <w:autoSpaceDN w:val="0"/>
      <w:adjustRightInd w:val="0"/>
      <w:spacing w:after="0" w:line="240" w:lineRule="auto"/>
    </w:pPr>
    <w:rPr>
      <w:rFonts w:ascii="Verdana" w:eastAsia="Calibri" w:hAnsi="Verdana" w:cs="Verdana"/>
      <w:color w:val="000000"/>
      <w:sz w:val="24"/>
      <w:szCs w:val="24"/>
      <w:lang w:val="en-US"/>
    </w:rPr>
  </w:style>
  <w:style w:type="paragraph" w:styleId="Ttulo">
    <w:name w:val="Title"/>
    <w:basedOn w:val="Normal"/>
    <w:link w:val="TtuloCar"/>
    <w:qFormat/>
    <w:rsid w:val="008E5FB7"/>
    <w:pPr>
      <w:spacing w:after="0" w:line="240" w:lineRule="auto"/>
      <w:jc w:val="center"/>
    </w:pPr>
    <w:rPr>
      <w:rFonts w:ascii="Verdana" w:eastAsia="Times New Roman" w:hAnsi="Verdana" w:cs="Times New Roman"/>
      <w:b/>
      <w:noProof/>
      <w:sz w:val="20"/>
      <w:szCs w:val="20"/>
      <w:lang w:val="es-ES_tradnl"/>
    </w:rPr>
  </w:style>
  <w:style w:type="character" w:customStyle="1" w:styleId="TtuloCar">
    <w:name w:val="Título Car"/>
    <w:basedOn w:val="Fuentedeprrafopredeter"/>
    <w:link w:val="Ttulo"/>
    <w:rsid w:val="008E5FB7"/>
    <w:rPr>
      <w:rFonts w:ascii="Verdana" w:eastAsia="Times New Roman" w:hAnsi="Verdana" w:cs="Times New Roman"/>
      <w:b/>
      <w:noProof/>
      <w:sz w:val="20"/>
      <w:szCs w:val="20"/>
      <w:lang w:val="es-ES_tradnl"/>
    </w:rPr>
  </w:style>
  <w:style w:type="paragraph" w:styleId="Encabezado">
    <w:name w:val="header"/>
    <w:basedOn w:val="Normal"/>
    <w:link w:val="EncabezadoCar"/>
    <w:uiPriority w:val="99"/>
    <w:unhideWhenUsed/>
    <w:rsid w:val="00300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68A"/>
  </w:style>
  <w:style w:type="paragraph" w:styleId="Piedepgina">
    <w:name w:val="footer"/>
    <w:basedOn w:val="Normal"/>
    <w:link w:val="PiedepginaCar"/>
    <w:uiPriority w:val="99"/>
    <w:unhideWhenUsed/>
    <w:rsid w:val="00300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68A"/>
  </w:style>
  <w:style w:type="paragraph" w:styleId="Prrafodelista">
    <w:name w:val="List Paragraph"/>
    <w:basedOn w:val="Normal"/>
    <w:uiPriority w:val="34"/>
    <w:qFormat/>
    <w:rsid w:val="00526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620</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6</cp:revision>
  <dcterms:created xsi:type="dcterms:W3CDTF">2022-01-05T04:04:00Z</dcterms:created>
  <dcterms:modified xsi:type="dcterms:W3CDTF">2024-01-07T23:53:00Z</dcterms:modified>
</cp:coreProperties>
</file>